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W w:w="0" w:type="auto"/>
        <w:tblCellMar>
          <w:left w:w="0" w:type="dxa"/>
          <w:right w:w="0" w:type="dxa"/>
        </w:tblCellMar>
        <w:tblLook w:val="04A0" w:firstRow="1" w:lastRow="0" w:firstColumn="1" w:lastColumn="0" w:noHBand="0" w:noVBand="1"/>
      </w:tblPr>
      <w:tblGrid>
        <w:gridCol w:w="566"/>
        <w:gridCol w:w="1310"/>
        <w:gridCol w:w="8205"/>
        <w:gridCol w:w="719"/>
      </w:tblGrid>
      <w:tr w:rsidR="00D06EEF" w14:paraId="5B2E61F2" w14:textId="77777777" w:rsidTr="00D06EEF">
        <w:tc>
          <w:tcPr>
            <w:tcW w:w="10800" w:type="dxa"/>
            <w:gridSpan w:val="4"/>
            <w:tcMar>
              <w:top w:w="0" w:type="dxa"/>
              <w:left w:w="108" w:type="dxa"/>
              <w:bottom w:w="0" w:type="dxa"/>
              <w:right w:w="108" w:type="dxa"/>
            </w:tcMar>
            <w:hideMark/>
          </w:tcPr>
          <w:p w14:paraId="7E8B1418" w14:textId="7ABB2546" w:rsidR="00D06EEF" w:rsidRDefault="00D06EEF" w:rsidP="00D06EEF">
            <w:r>
              <w:rPr>
                <w:noProof/>
                <w:color w:val="1F497D"/>
              </w:rPr>
              <w:drawing>
                <wp:inline distT="0" distB="0" distL="0" distR="0" wp14:anchorId="64C5423D" wp14:editId="35EA5B3E">
                  <wp:extent cx="6858000" cy="1283970"/>
                  <wp:effectExtent l="0" t="0" r="0" b="0"/>
                  <wp:docPr id="1396905525"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05525" name="Picture 1" descr="A picture containing text, font, screenshot, graphic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858000" cy="1283970"/>
                          </a:xfrm>
                          <a:prstGeom prst="rect">
                            <a:avLst/>
                          </a:prstGeom>
                          <a:noFill/>
                          <a:ln>
                            <a:noFill/>
                          </a:ln>
                        </pic:spPr>
                      </pic:pic>
                    </a:graphicData>
                  </a:graphic>
                </wp:inline>
              </w:drawing>
            </w:r>
          </w:p>
          <w:p w14:paraId="388ED92D" w14:textId="77777777" w:rsidR="00D06EEF" w:rsidRDefault="00D06EEF" w:rsidP="00D06EEF">
            <w:r>
              <w:rPr>
                <w:sz w:val="24"/>
                <w:szCs w:val="24"/>
              </w:rPr>
              <w:t> </w:t>
            </w:r>
          </w:p>
        </w:tc>
      </w:tr>
      <w:tr w:rsidR="00D06EEF" w14:paraId="5A40D637" w14:textId="77777777" w:rsidTr="00D06EEF">
        <w:trPr>
          <w:trHeight w:val="576"/>
        </w:trPr>
        <w:tc>
          <w:tcPr>
            <w:tcW w:w="438" w:type="dxa"/>
            <w:tcMar>
              <w:top w:w="0" w:type="dxa"/>
              <w:left w:w="108" w:type="dxa"/>
              <w:bottom w:w="0" w:type="dxa"/>
              <w:right w:w="108" w:type="dxa"/>
            </w:tcMar>
            <w:vAlign w:val="bottom"/>
            <w:hideMark/>
          </w:tcPr>
          <w:p w14:paraId="1D706F83" w14:textId="77777777" w:rsidR="00D06EEF" w:rsidRDefault="00D06EEF" w:rsidP="00D06EEF">
            <w:r>
              <w:rPr>
                <w:b/>
                <w:bCs/>
                <w:sz w:val="24"/>
                <w:szCs w:val="24"/>
              </w:rPr>
              <w:t> </w:t>
            </w:r>
          </w:p>
        </w:tc>
        <w:tc>
          <w:tcPr>
            <w:tcW w:w="823" w:type="dxa"/>
            <w:vAlign w:val="bottom"/>
            <w:hideMark/>
          </w:tcPr>
          <w:p w14:paraId="7D72ABF5" w14:textId="77777777" w:rsidR="00D06EEF" w:rsidRDefault="00D06EEF" w:rsidP="00D06EEF">
            <w:r>
              <w:rPr>
                <w:b/>
                <w:bCs/>
                <w:sz w:val="24"/>
                <w:szCs w:val="24"/>
              </w:rPr>
              <w:t xml:space="preserve">Date: </w:t>
            </w:r>
          </w:p>
        </w:tc>
        <w:tc>
          <w:tcPr>
            <w:tcW w:w="8690" w:type="dxa"/>
            <w:vAlign w:val="bottom"/>
            <w:hideMark/>
          </w:tcPr>
          <w:p w14:paraId="333BDF20" w14:textId="77777777" w:rsidR="00D06EEF" w:rsidRDefault="00D06EEF" w:rsidP="00D06EEF">
            <w:r>
              <w:rPr>
                <w:sz w:val="24"/>
                <w:szCs w:val="24"/>
              </w:rPr>
              <w:t>June 12, 2023</w:t>
            </w:r>
          </w:p>
        </w:tc>
        <w:tc>
          <w:tcPr>
            <w:tcW w:w="849" w:type="dxa"/>
            <w:vAlign w:val="bottom"/>
            <w:hideMark/>
          </w:tcPr>
          <w:p w14:paraId="1AEB91B0" w14:textId="77777777" w:rsidR="00D06EEF" w:rsidRDefault="00D06EEF" w:rsidP="00D06EEF">
            <w:r>
              <w:rPr>
                <w:rFonts w:ascii="Times New Roman" w:hAnsi="Times New Roman" w:cs="Times New Roman"/>
                <w:sz w:val="24"/>
                <w:szCs w:val="24"/>
              </w:rPr>
              <w:t> </w:t>
            </w:r>
          </w:p>
        </w:tc>
      </w:tr>
      <w:tr w:rsidR="00D06EEF" w14:paraId="76E8DCDB" w14:textId="77777777" w:rsidTr="00D06EEF">
        <w:trPr>
          <w:trHeight w:val="576"/>
        </w:trPr>
        <w:tc>
          <w:tcPr>
            <w:tcW w:w="438" w:type="dxa"/>
            <w:tcMar>
              <w:top w:w="0" w:type="dxa"/>
              <w:left w:w="108" w:type="dxa"/>
              <w:bottom w:w="0" w:type="dxa"/>
              <w:right w:w="108" w:type="dxa"/>
            </w:tcMar>
            <w:vAlign w:val="bottom"/>
            <w:hideMark/>
          </w:tcPr>
          <w:p w14:paraId="0466EE8D" w14:textId="77777777" w:rsidR="00D06EEF" w:rsidRDefault="00D06EEF" w:rsidP="00D06EEF">
            <w:r>
              <w:rPr>
                <w:b/>
                <w:bCs/>
                <w:sz w:val="24"/>
                <w:szCs w:val="24"/>
              </w:rPr>
              <w:t> </w:t>
            </w:r>
          </w:p>
        </w:tc>
        <w:tc>
          <w:tcPr>
            <w:tcW w:w="823" w:type="dxa"/>
            <w:vAlign w:val="bottom"/>
            <w:hideMark/>
          </w:tcPr>
          <w:p w14:paraId="7BDA4048" w14:textId="77777777" w:rsidR="00D06EEF" w:rsidRDefault="00D06EEF" w:rsidP="00D06EEF">
            <w:r>
              <w:rPr>
                <w:b/>
                <w:bCs/>
                <w:sz w:val="24"/>
                <w:szCs w:val="24"/>
              </w:rPr>
              <w:t>To:</w:t>
            </w:r>
          </w:p>
        </w:tc>
        <w:tc>
          <w:tcPr>
            <w:tcW w:w="8690" w:type="dxa"/>
            <w:vAlign w:val="bottom"/>
            <w:hideMark/>
          </w:tcPr>
          <w:p w14:paraId="7EE0F8AC" w14:textId="77777777" w:rsidR="00D06EEF" w:rsidRDefault="00D06EEF" w:rsidP="00D06EEF">
            <w:r>
              <w:rPr>
                <w:sz w:val="24"/>
                <w:szCs w:val="24"/>
              </w:rPr>
              <w:t>Chancellors, Superintendents, Presidents, and Accreditation Liaison Officers of ACCJC Member Institutions; Other Interested Parties</w:t>
            </w:r>
          </w:p>
        </w:tc>
        <w:tc>
          <w:tcPr>
            <w:tcW w:w="849" w:type="dxa"/>
            <w:vAlign w:val="bottom"/>
            <w:hideMark/>
          </w:tcPr>
          <w:p w14:paraId="17B0DBB1" w14:textId="77777777" w:rsidR="00D06EEF" w:rsidRDefault="00D06EEF" w:rsidP="00D06EEF">
            <w:r>
              <w:rPr>
                <w:rFonts w:ascii="Times New Roman" w:hAnsi="Times New Roman" w:cs="Times New Roman"/>
                <w:sz w:val="24"/>
                <w:szCs w:val="24"/>
              </w:rPr>
              <w:t> </w:t>
            </w:r>
          </w:p>
        </w:tc>
      </w:tr>
      <w:tr w:rsidR="00D06EEF" w14:paraId="3638A491" w14:textId="77777777" w:rsidTr="00D06EEF">
        <w:trPr>
          <w:trHeight w:val="576"/>
        </w:trPr>
        <w:tc>
          <w:tcPr>
            <w:tcW w:w="438" w:type="dxa"/>
            <w:tcMar>
              <w:top w:w="0" w:type="dxa"/>
              <w:left w:w="108" w:type="dxa"/>
              <w:bottom w:w="0" w:type="dxa"/>
              <w:right w:w="108" w:type="dxa"/>
            </w:tcMar>
            <w:vAlign w:val="bottom"/>
            <w:hideMark/>
          </w:tcPr>
          <w:p w14:paraId="5E6DA94E" w14:textId="77777777" w:rsidR="00D06EEF" w:rsidRDefault="00D06EEF" w:rsidP="00D06EEF">
            <w:r>
              <w:rPr>
                <w:b/>
                <w:bCs/>
                <w:sz w:val="24"/>
                <w:szCs w:val="24"/>
              </w:rPr>
              <w:t> </w:t>
            </w:r>
          </w:p>
        </w:tc>
        <w:tc>
          <w:tcPr>
            <w:tcW w:w="823" w:type="dxa"/>
            <w:vAlign w:val="bottom"/>
            <w:hideMark/>
          </w:tcPr>
          <w:p w14:paraId="3004F6F8" w14:textId="77777777" w:rsidR="00D06EEF" w:rsidRDefault="00D06EEF" w:rsidP="00D06EEF">
            <w:pPr>
              <w:outlineLvl w:val="0"/>
            </w:pPr>
            <w:r>
              <w:rPr>
                <w:b/>
                <w:bCs/>
                <w:sz w:val="24"/>
                <w:szCs w:val="24"/>
              </w:rPr>
              <w:t>From:</w:t>
            </w:r>
            <w:r>
              <w:rPr>
                <w:rFonts w:ascii="Segoe Script" w:hAnsi="Segoe Script"/>
                <w:b/>
                <w:bCs/>
                <w:sz w:val="28"/>
                <w:szCs w:val="28"/>
              </w:rPr>
              <w:t xml:space="preserve"> </w:t>
            </w:r>
            <w:r>
              <w:rPr>
                <w:rFonts w:ascii="Segoe Script" w:hAnsi="Segoe Script"/>
                <w:b/>
                <w:bCs/>
                <w:sz w:val="32"/>
                <w:szCs w:val="32"/>
              </w:rPr>
              <w:t> </w:t>
            </w:r>
          </w:p>
        </w:tc>
        <w:tc>
          <w:tcPr>
            <w:tcW w:w="8690" w:type="dxa"/>
            <w:vAlign w:val="bottom"/>
            <w:hideMark/>
          </w:tcPr>
          <w:p w14:paraId="49835592" w14:textId="77777777" w:rsidR="00D06EEF" w:rsidRDefault="00D06EEF" w:rsidP="00D06EEF">
            <w:r>
              <w:rPr>
                <w:sz w:val="24"/>
                <w:szCs w:val="24"/>
              </w:rPr>
              <w:t xml:space="preserve">Mac Powell, President  </w:t>
            </w:r>
            <w:r>
              <w:rPr>
                <w:rFonts w:ascii="Segoe Script" w:hAnsi="Segoe Script"/>
                <w:sz w:val="28"/>
                <w:szCs w:val="28"/>
              </w:rPr>
              <w:t>MP</w:t>
            </w:r>
          </w:p>
        </w:tc>
        <w:tc>
          <w:tcPr>
            <w:tcW w:w="849" w:type="dxa"/>
            <w:vAlign w:val="bottom"/>
            <w:hideMark/>
          </w:tcPr>
          <w:p w14:paraId="4E7694D6" w14:textId="77777777" w:rsidR="00D06EEF" w:rsidRDefault="00D06EEF" w:rsidP="00D06EEF">
            <w:r>
              <w:rPr>
                <w:rFonts w:ascii="Times New Roman" w:hAnsi="Times New Roman" w:cs="Times New Roman"/>
                <w:sz w:val="24"/>
                <w:szCs w:val="24"/>
              </w:rPr>
              <w:t> </w:t>
            </w:r>
          </w:p>
        </w:tc>
      </w:tr>
      <w:tr w:rsidR="00D06EEF" w14:paraId="4A5582B3" w14:textId="77777777" w:rsidTr="00D06EEF">
        <w:trPr>
          <w:trHeight w:val="576"/>
        </w:trPr>
        <w:tc>
          <w:tcPr>
            <w:tcW w:w="438" w:type="dxa"/>
            <w:tcMar>
              <w:top w:w="0" w:type="dxa"/>
              <w:left w:w="108" w:type="dxa"/>
              <w:bottom w:w="0" w:type="dxa"/>
              <w:right w:w="108" w:type="dxa"/>
            </w:tcMar>
            <w:vAlign w:val="bottom"/>
            <w:hideMark/>
          </w:tcPr>
          <w:p w14:paraId="360E2BD0" w14:textId="77777777" w:rsidR="00D06EEF" w:rsidRDefault="00D06EEF" w:rsidP="00D06EEF">
            <w:r>
              <w:rPr>
                <w:b/>
                <w:bCs/>
                <w:sz w:val="24"/>
                <w:szCs w:val="24"/>
              </w:rPr>
              <w:t> </w:t>
            </w:r>
          </w:p>
        </w:tc>
        <w:tc>
          <w:tcPr>
            <w:tcW w:w="823" w:type="dxa"/>
            <w:vAlign w:val="bottom"/>
            <w:hideMark/>
          </w:tcPr>
          <w:p w14:paraId="58B39BEF" w14:textId="77777777" w:rsidR="00D06EEF" w:rsidRDefault="00D06EEF" w:rsidP="00D06EEF">
            <w:r>
              <w:rPr>
                <w:b/>
                <w:bCs/>
                <w:sz w:val="24"/>
                <w:szCs w:val="24"/>
              </w:rPr>
              <w:t>Subject:</w:t>
            </w:r>
          </w:p>
        </w:tc>
        <w:tc>
          <w:tcPr>
            <w:tcW w:w="8690" w:type="dxa"/>
            <w:vAlign w:val="bottom"/>
            <w:hideMark/>
          </w:tcPr>
          <w:p w14:paraId="7D7203B3" w14:textId="77777777" w:rsidR="00D06EEF" w:rsidRDefault="00D06EEF" w:rsidP="00D06EEF">
            <w:r>
              <w:rPr>
                <w:sz w:val="24"/>
                <w:szCs w:val="24"/>
              </w:rPr>
              <w:t>ACCJC Adopts 2024 Accreditation Standards</w:t>
            </w:r>
          </w:p>
        </w:tc>
        <w:tc>
          <w:tcPr>
            <w:tcW w:w="849" w:type="dxa"/>
            <w:vAlign w:val="bottom"/>
            <w:hideMark/>
          </w:tcPr>
          <w:p w14:paraId="1A04EF1A" w14:textId="77777777" w:rsidR="00D06EEF" w:rsidRDefault="00D06EEF" w:rsidP="00D06EEF">
            <w:r>
              <w:rPr>
                <w:rFonts w:ascii="Times New Roman" w:hAnsi="Times New Roman" w:cs="Times New Roman"/>
                <w:sz w:val="24"/>
                <w:szCs w:val="24"/>
              </w:rPr>
              <w:t> </w:t>
            </w:r>
          </w:p>
        </w:tc>
      </w:tr>
      <w:tr w:rsidR="00D06EEF" w14:paraId="2FD373F0" w14:textId="77777777" w:rsidTr="00D06EEF">
        <w:trPr>
          <w:trHeight w:val="9371"/>
        </w:trPr>
        <w:tc>
          <w:tcPr>
            <w:tcW w:w="438" w:type="dxa"/>
            <w:tcMar>
              <w:top w:w="0" w:type="dxa"/>
              <w:left w:w="108" w:type="dxa"/>
              <w:bottom w:w="0" w:type="dxa"/>
              <w:right w:w="108" w:type="dxa"/>
            </w:tcMar>
            <w:vAlign w:val="bottom"/>
            <w:hideMark/>
          </w:tcPr>
          <w:p w14:paraId="4D83E717" w14:textId="77777777" w:rsidR="00D06EEF" w:rsidRDefault="00D06EEF" w:rsidP="00D06EEF">
            <w:r>
              <w:rPr>
                <w:b/>
                <w:bCs/>
                <w:sz w:val="24"/>
                <w:szCs w:val="24"/>
              </w:rPr>
              <w:t> </w:t>
            </w:r>
          </w:p>
        </w:tc>
        <w:tc>
          <w:tcPr>
            <w:tcW w:w="9513" w:type="dxa"/>
            <w:gridSpan w:val="2"/>
            <w:tcMar>
              <w:top w:w="0" w:type="dxa"/>
              <w:left w:w="0" w:type="dxa"/>
              <w:bottom w:w="0" w:type="dxa"/>
              <w:right w:w="144" w:type="dxa"/>
            </w:tcMar>
            <w:vAlign w:val="bottom"/>
            <w:hideMark/>
          </w:tcPr>
          <w:p w14:paraId="744BF4D9" w14:textId="6B14053C" w:rsidR="00D06EEF" w:rsidRDefault="00D06EEF" w:rsidP="00D06EEF">
            <w:r>
              <w:rPr>
                <w:sz w:val="24"/>
                <w:szCs w:val="24"/>
              </w:rPr>
              <w:t>  </w:t>
            </w:r>
          </w:p>
          <w:p w14:paraId="20FD1E8C" w14:textId="77777777" w:rsidR="00D06EEF" w:rsidRDefault="00D06EEF" w:rsidP="00D06EEF">
            <w:r>
              <w:rPr>
                <w:sz w:val="24"/>
                <w:szCs w:val="24"/>
              </w:rPr>
              <w:t xml:space="preserve">On behalf of ACCJC, I am pleased to share that at its June 2023 meeting, the Commission approved the 2024 Accreditation Standards following their second reading. This historic moment is the culmination of a two-year planning, writing, and editing process involving significant engagement with stakeholders from member institutions and the public. ACCJC’s 2024 Accreditation Standards reflect the diversity of ACCJC member institutions, are streamlined and clear, emphasize equity and inclusion, and are focused on student outcomes! </w:t>
            </w:r>
          </w:p>
          <w:p w14:paraId="2989A220" w14:textId="77777777" w:rsidR="00D06EEF" w:rsidRDefault="00D06EEF" w:rsidP="00D06EEF">
            <w:r>
              <w:rPr>
                <w:sz w:val="24"/>
                <w:szCs w:val="24"/>
              </w:rPr>
              <w:t> </w:t>
            </w:r>
          </w:p>
          <w:p w14:paraId="201D611F" w14:textId="77777777" w:rsidR="00D06EEF" w:rsidRDefault="00D06EEF" w:rsidP="00D06EEF">
            <w:r>
              <w:rPr>
                <w:b/>
                <w:bCs/>
                <w:sz w:val="24"/>
                <w:szCs w:val="24"/>
              </w:rPr>
              <w:t>Proposed Implementation</w:t>
            </w:r>
          </w:p>
          <w:p w14:paraId="22239E48" w14:textId="77777777" w:rsidR="00D06EEF" w:rsidRDefault="00D06EEF" w:rsidP="00D06EEF">
            <w:r>
              <w:rPr>
                <w:sz w:val="24"/>
                <w:szCs w:val="24"/>
              </w:rPr>
              <w:t> </w:t>
            </w:r>
          </w:p>
          <w:p w14:paraId="4B7BF697" w14:textId="77777777" w:rsidR="00D06EEF" w:rsidRDefault="00D06EEF" w:rsidP="00D06EEF">
            <w:r>
              <w:rPr>
                <w:sz w:val="24"/>
                <w:szCs w:val="24"/>
              </w:rPr>
              <w:t xml:space="preserve">To implement the new Standards, ACCJC Staff and the Standards Review Leadership Team are recommending a two-year “pilot” period beginning immediately upon the adoption of the 2024 Accreditation Standards. During this two-year window, institutions may choose which Standards (2014 or 2024) they will use to conduct their self-evaluation. To date, 25 institutions have volunteered to serve as pilot colleges. ACCJC Staff and the Standards Review Leadership Team are also recommending the following improvements to be incorporated into the Standards implementation: </w:t>
            </w:r>
          </w:p>
          <w:p w14:paraId="6DAFCECD" w14:textId="77777777" w:rsidR="00D06EEF" w:rsidRDefault="00D06EEF" w:rsidP="00D06EEF">
            <w:pPr>
              <w:numPr>
                <w:ilvl w:val="0"/>
                <w:numId w:val="1"/>
              </w:numPr>
              <w:spacing w:before="120"/>
              <w:rPr>
                <w:rFonts w:eastAsia="Times New Roman"/>
              </w:rPr>
            </w:pPr>
            <w:r>
              <w:rPr>
                <w:rFonts w:eastAsia="Times New Roman"/>
                <w:sz w:val="24"/>
                <w:szCs w:val="24"/>
              </w:rPr>
              <w:t xml:space="preserve">Extending the cycle of accreditation for institutions from seven years to eight </w:t>
            </w:r>
            <w:proofErr w:type="gramStart"/>
            <w:r>
              <w:rPr>
                <w:rFonts w:eastAsia="Times New Roman"/>
                <w:sz w:val="24"/>
                <w:szCs w:val="24"/>
              </w:rPr>
              <w:t>years;</w:t>
            </w:r>
            <w:proofErr w:type="gramEnd"/>
          </w:p>
          <w:p w14:paraId="0C9D8769" w14:textId="77777777" w:rsidR="00D06EEF" w:rsidRDefault="00D06EEF" w:rsidP="00D06EEF">
            <w:pPr>
              <w:numPr>
                <w:ilvl w:val="0"/>
                <w:numId w:val="1"/>
              </w:numPr>
              <w:spacing w:before="120"/>
              <w:rPr>
                <w:rFonts w:eastAsia="Times New Roman"/>
              </w:rPr>
            </w:pPr>
            <w:r>
              <w:rPr>
                <w:rFonts w:eastAsia="Times New Roman"/>
                <w:sz w:val="24"/>
                <w:szCs w:val="24"/>
              </w:rPr>
              <w:t xml:space="preserve">Revising the Midterm Report to allow for more meaningful mid-cycle </w:t>
            </w:r>
            <w:proofErr w:type="gramStart"/>
            <w:r>
              <w:rPr>
                <w:rFonts w:eastAsia="Times New Roman"/>
                <w:sz w:val="24"/>
                <w:szCs w:val="24"/>
              </w:rPr>
              <w:t>reflection;</w:t>
            </w:r>
            <w:proofErr w:type="gramEnd"/>
          </w:p>
          <w:p w14:paraId="12608138" w14:textId="77777777" w:rsidR="00D06EEF" w:rsidRDefault="00D06EEF" w:rsidP="00D06EEF">
            <w:pPr>
              <w:numPr>
                <w:ilvl w:val="0"/>
                <w:numId w:val="1"/>
              </w:numPr>
              <w:spacing w:before="120"/>
              <w:rPr>
                <w:rFonts w:eastAsia="Times New Roman"/>
              </w:rPr>
            </w:pPr>
            <w:r>
              <w:rPr>
                <w:rFonts w:eastAsia="Times New Roman"/>
                <w:sz w:val="24"/>
                <w:szCs w:val="24"/>
              </w:rPr>
              <w:t xml:space="preserve">Altering the size and composition of a typical peer review team to focus the efforts of the </w:t>
            </w:r>
            <w:proofErr w:type="gramStart"/>
            <w:r>
              <w:rPr>
                <w:rFonts w:eastAsia="Times New Roman"/>
                <w:sz w:val="24"/>
                <w:szCs w:val="24"/>
              </w:rPr>
              <w:t>evaluation;</w:t>
            </w:r>
            <w:proofErr w:type="gramEnd"/>
          </w:p>
          <w:p w14:paraId="1B49EC0E" w14:textId="77777777" w:rsidR="00D06EEF" w:rsidRDefault="00D06EEF" w:rsidP="00D06EEF">
            <w:pPr>
              <w:numPr>
                <w:ilvl w:val="0"/>
                <w:numId w:val="1"/>
              </w:numPr>
              <w:spacing w:before="120"/>
              <w:rPr>
                <w:rFonts w:eastAsia="Times New Roman"/>
              </w:rPr>
            </w:pPr>
            <w:r>
              <w:rPr>
                <w:rFonts w:eastAsia="Times New Roman"/>
                <w:sz w:val="24"/>
                <w:szCs w:val="24"/>
              </w:rPr>
              <w:t>Streamlining the Institutional Self-Evaluation Report (ISER</w:t>
            </w:r>
            <w:proofErr w:type="gramStart"/>
            <w:r>
              <w:rPr>
                <w:rFonts w:eastAsia="Times New Roman"/>
                <w:sz w:val="24"/>
                <w:szCs w:val="24"/>
              </w:rPr>
              <w:t>);</w:t>
            </w:r>
            <w:proofErr w:type="gramEnd"/>
          </w:p>
          <w:p w14:paraId="7DF19D17" w14:textId="77777777" w:rsidR="00D06EEF" w:rsidRDefault="00D06EEF" w:rsidP="00D06EEF">
            <w:pPr>
              <w:numPr>
                <w:ilvl w:val="0"/>
                <w:numId w:val="1"/>
              </w:numPr>
              <w:spacing w:before="120"/>
              <w:rPr>
                <w:rFonts w:eastAsia="Times New Roman"/>
              </w:rPr>
            </w:pPr>
            <w:r>
              <w:rPr>
                <w:rFonts w:eastAsia="Times New Roman"/>
                <w:sz w:val="24"/>
                <w:szCs w:val="24"/>
              </w:rPr>
              <w:t xml:space="preserve">Eliminating the Quality Focus </w:t>
            </w:r>
            <w:proofErr w:type="gramStart"/>
            <w:r>
              <w:rPr>
                <w:rFonts w:eastAsia="Times New Roman"/>
                <w:sz w:val="24"/>
                <w:szCs w:val="24"/>
              </w:rPr>
              <w:t>Essay;</w:t>
            </w:r>
            <w:proofErr w:type="gramEnd"/>
          </w:p>
          <w:p w14:paraId="39246A8D" w14:textId="77777777" w:rsidR="00D06EEF" w:rsidRDefault="00D06EEF" w:rsidP="00D06EEF">
            <w:pPr>
              <w:numPr>
                <w:ilvl w:val="0"/>
                <w:numId w:val="1"/>
              </w:numPr>
              <w:spacing w:before="120"/>
              <w:rPr>
                <w:rFonts w:eastAsia="Times New Roman"/>
              </w:rPr>
            </w:pPr>
            <w:r>
              <w:rPr>
                <w:rFonts w:eastAsia="Times New Roman"/>
                <w:sz w:val="24"/>
                <w:szCs w:val="24"/>
              </w:rPr>
              <w:t>Redesigning training and engagement for college and peer reviewer preparation; and</w:t>
            </w:r>
          </w:p>
          <w:p w14:paraId="45186BFA" w14:textId="77777777" w:rsidR="00D06EEF" w:rsidRDefault="00D06EEF" w:rsidP="00D06EEF">
            <w:pPr>
              <w:numPr>
                <w:ilvl w:val="0"/>
                <w:numId w:val="1"/>
              </w:numPr>
              <w:spacing w:before="120"/>
              <w:rPr>
                <w:rFonts w:eastAsia="Times New Roman"/>
              </w:rPr>
            </w:pPr>
            <w:r>
              <w:rPr>
                <w:rFonts w:eastAsia="Times New Roman"/>
                <w:sz w:val="24"/>
                <w:szCs w:val="24"/>
              </w:rPr>
              <w:t>Consolidating existing guides, manuals, and protocols into a single Accreditation Handbook.</w:t>
            </w:r>
          </w:p>
          <w:p w14:paraId="54F33DF8" w14:textId="77777777" w:rsidR="00D06EEF" w:rsidRDefault="00D06EEF" w:rsidP="00D06EEF">
            <w:r>
              <w:rPr>
                <w:sz w:val="24"/>
                <w:szCs w:val="24"/>
              </w:rPr>
              <w:t> </w:t>
            </w:r>
          </w:p>
          <w:p w14:paraId="129D3F5E" w14:textId="77777777" w:rsidR="00D06EEF" w:rsidRDefault="00D06EEF" w:rsidP="00D06EEF">
            <w:r>
              <w:rPr>
                <w:sz w:val="24"/>
                <w:szCs w:val="24"/>
              </w:rPr>
              <w:t xml:space="preserve">As planning progresses, more details about the proposed implementation plans will be shared with members of the field through formal communications and redesigned resources. Additionally, we will be hosting </w:t>
            </w:r>
            <w:r>
              <w:rPr>
                <w:b/>
                <w:bCs/>
                <w:sz w:val="24"/>
                <w:szCs w:val="24"/>
              </w:rPr>
              <w:t>two informational webinars this fall</w:t>
            </w:r>
            <w:r>
              <w:rPr>
                <w:sz w:val="24"/>
                <w:szCs w:val="24"/>
              </w:rPr>
              <w:t>:</w:t>
            </w:r>
          </w:p>
          <w:p w14:paraId="3594BEAF" w14:textId="77777777" w:rsidR="00D06EEF" w:rsidRDefault="00D06EEF" w:rsidP="00D06EEF">
            <w:pPr>
              <w:ind w:left="720"/>
            </w:pPr>
            <w:r>
              <w:rPr>
                <w:b/>
                <w:bCs/>
                <w:sz w:val="24"/>
                <w:szCs w:val="24"/>
              </w:rPr>
              <w:t>Introducing the 2024 Standards Session 1</w:t>
            </w:r>
          </w:p>
          <w:p w14:paraId="266408A2" w14:textId="77777777" w:rsidR="00D06EEF" w:rsidRDefault="00D06EEF" w:rsidP="00D06EEF">
            <w:pPr>
              <w:ind w:left="720"/>
            </w:pPr>
            <w:r>
              <w:rPr>
                <w:sz w:val="24"/>
                <w:szCs w:val="24"/>
              </w:rPr>
              <w:t>Tuesday, September 12, 2023, 1:00-2:00 p.m. PDT</w:t>
            </w:r>
          </w:p>
          <w:p w14:paraId="66ABE626" w14:textId="77777777" w:rsidR="00D06EEF" w:rsidRDefault="00D06EEF" w:rsidP="00D06EEF">
            <w:pPr>
              <w:ind w:left="720"/>
            </w:pPr>
            <w:hyperlink r:id="rId7" w:anchor="/registration" w:history="1">
              <w:r>
                <w:rPr>
                  <w:rStyle w:val="Hyperlink"/>
                  <w:color w:val="0563C1"/>
                  <w:sz w:val="24"/>
                  <w:szCs w:val="24"/>
                </w:rPr>
                <w:t>Zoom Registration Link</w:t>
              </w:r>
            </w:hyperlink>
          </w:p>
          <w:p w14:paraId="6BA91B97" w14:textId="77777777" w:rsidR="00D06EEF" w:rsidRDefault="00D06EEF" w:rsidP="00D06EEF">
            <w:pPr>
              <w:ind w:left="720"/>
            </w:pPr>
            <w:r>
              <w:rPr>
                <w:sz w:val="24"/>
                <w:szCs w:val="24"/>
              </w:rPr>
              <w:t> </w:t>
            </w:r>
          </w:p>
          <w:p w14:paraId="51945D40" w14:textId="77777777" w:rsidR="00D06EEF" w:rsidRDefault="00D06EEF" w:rsidP="00D06EEF">
            <w:pPr>
              <w:ind w:left="720"/>
            </w:pPr>
            <w:r>
              <w:rPr>
                <w:b/>
                <w:bCs/>
                <w:sz w:val="24"/>
                <w:szCs w:val="24"/>
              </w:rPr>
              <w:t>Introducing the 2024 Standards Session 2</w:t>
            </w:r>
          </w:p>
          <w:p w14:paraId="43CA4195" w14:textId="77777777" w:rsidR="00D06EEF" w:rsidRDefault="00D06EEF" w:rsidP="00D06EEF">
            <w:pPr>
              <w:ind w:left="720"/>
            </w:pPr>
            <w:r>
              <w:rPr>
                <w:sz w:val="24"/>
                <w:szCs w:val="24"/>
              </w:rPr>
              <w:t>Tuesday, October 10, 2023, 1:00-2:00 p.m. PDT</w:t>
            </w:r>
          </w:p>
          <w:p w14:paraId="4142C918" w14:textId="77777777" w:rsidR="00D06EEF" w:rsidRDefault="00D06EEF" w:rsidP="00D06EEF">
            <w:pPr>
              <w:ind w:left="720"/>
            </w:pPr>
            <w:hyperlink r:id="rId8" w:anchor="/registration" w:history="1">
              <w:r>
                <w:rPr>
                  <w:rStyle w:val="Hyperlink"/>
                  <w:color w:val="0563C1"/>
                  <w:sz w:val="24"/>
                  <w:szCs w:val="24"/>
                </w:rPr>
                <w:t>Zoom Registration Link</w:t>
              </w:r>
            </w:hyperlink>
          </w:p>
          <w:p w14:paraId="3A298100" w14:textId="77777777" w:rsidR="00D06EEF" w:rsidRDefault="00D06EEF" w:rsidP="00D06EEF">
            <w:r>
              <w:rPr>
                <w:sz w:val="24"/>
                <w:szCs w:val="24"/>
              </w:rPr>
              <w:t> </w:t>
            </w:r>
          </w:p>
          <w:p w14:paraId="63011D5F" w14:textId="46DFD618" w:rsidR="00D06EEF" w:rsidRDefault="00D06EEF" w:rsidP="00D06EEF">
            <w:r>
              <w:rPr>
                <w:sz w:val="24"/>
                <w:szCs w:val="24"/>
              </w:rPr>
              <w:t>Once again, I want to thank everyone who has brought this initiative to its current state: ACCJC Vice President Catherine Webb, the Standards Review Leadership Team, ACCJC Staff, the 85 writers and readers who participated in drafts over the past two years, and all of the community members who provided input and support. And, on behalf of everyone on the ACCJC Staff, I want to thank you for your support of the peer review process.</w:t>
            </w:r>
          </w:p>
        </w:tc>
        <w:tc>
          <w:tcPr>
            <w:tcW w:w="849" w:type="dxa"/>
            <w:vAlign w:val="bottom"/>
            <w:hideMark/>
          </w:tcPr>
          <w:p w14:paraId="3CD0C2F1" w14:textId="77777777" w:rsidR="00D06EEF" w:rsidRDefault="00D06EEF" w:rsidP="00D06EEF">
            <w:r>
              <w:rPr>
                <w:rFonts w:ascii="Times New Roman" w:hAnsi="Times New Roman" w:cs="Times New Roman"/>
                <w:b/>
                <w:bCs/>
                <w:sz w:val="24"/>
                <w:szCs w:val="24"/>
              </w:rPr>
              <w:t> </w:t>
            </w:r>
          </w:p>
        </w:tc>
      </w:tr>
    </w:tbl>
    <w:p w14:paraId="417E9B2A" w14:textId="77777777" w:rsidR="00CF1803" w:rsidRDefault="00D06EEF"/>
    <w:sectPr w:rsidR="00CF1803" w:rsidSect="00D06EEF">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615F5"/>
    <w:multiLevelType w:val="multilevel"/>
    <w:tmpl w:val="163C5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03571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EF"/>
    <w:rsid w:val="00041899"/>
    <w:rsid w:val="00B95025"/>
    <w:rsid w:val="00D06EEF"/>
    <w:rsid w:val="00DE759B"/>
    <w:rsid w:val="00E17422"/>
    <w:rsid w:val="00EC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A52D"/>
  <w15:chartTrackingRefBased/>
  <w15:docId w15:val="{E1AE8A3F-637A-4E52-A08B-53EFF9FB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E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vcu-trzsuGtKTatlVCeAH4zuepTZarzPX" TargetMode="External"/><Relationship Id="rId3" Type="http://schemas.openxmlformats.org/officeDocument/2006/relationships/settings" Target="settings.xml"/><Relationship Id="rId7" Type="http://schemas.openxmlformats.org/officeDocument/2006/relationships/hyperlink" Target="https://us02web.zoom.us/meeting/register/tZwof-ygqTgoHtNimuaJfvAM1eu9T2D69y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981AD.8EC01AA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1</cp:revision>
  <dcterms:created xsi:type="dcterms:W3CDTF">2023-06-21T23:35:00Z</dcterms:created>
  <dcterms:modified xsi:type="dcterms:W3CDTF">2023-06-21T23:39:00Z</dcterms:modified>
</cp:coreProperties>
</file>